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euteronomy-16"/>
    <w:p>
      <w:pPr>
        <w:pStyle w:val="Heading1"/>
      </w:pPr>
      <w:r>
        <w:t xml:space="preserve">Homiletics Analysis: Deuteronomy 16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16 presents Moses’ instruction to Israel regarding the three major pilgrimage festivals of the covenant calendar: Passover and the Feast of Unleavened Bread (vv. 1–8), the Feast of Weeks (vv. 9–12), and the Feast of Booths (vv. 13–17). Each festival is tied to a defining act of God — deliverance from Egypt (Passover), the firstfruits of the grain harvest (Weeks), and the gathering of all produce after the wilderness sojourn (Booths). The chapter closes with the appointment of judges and officials throughout Israel’s towns (vv. 18–20) and a prohibition against Asherah poles and standing stones beside the LORD’s altar (vv. 21–22).</w:t>
      </w:r>
    </w:p>
    <w:p>
      <w:pPr>
        <w:pStyle w:val="BodyText"/>
      </w:pPr>
      <w:r>
        <w:t xml:space="preserve">The festivals share a common structure: they are to be observed</w:t>
      </w:r>
      <w:r>
        <w:t xml:space="preserve"> </w:t>
      </w:r>
      <w:r>
        <w:rPr>
          <w:i/>
          <w:iCs/>
        </w:rPr>
        <w:t xml:space="preserve">at the place the LORD your God will choose</w:t>
      </w:r>
      <w:r>
        <w:t xml:space="preserve"> </w:t>
      </w:r>
      <w:r>
        <w:t xml:space="preserve">(the centralizing formula, appearing seven times in the chapter), they involve</w:t>
      </w:r>
      <w:r>
        <w:t xml:space="preserve"> </w:t>
      </w:r>
      <w:r>
        <w:rPr>
          <w:i/>
          <w:iCs/>
        </w:rPr>
        <w:t xml:space="preserve">freewill offerings proportionate to blessing received</w:t>
      </w:r>
      <w:r>
        <w:t xml:space="preserve">, and they are to be celebrated with</w:t>
      </w:r>
      <w:r>
        <w:t xml:space="preserve"> </w:t>
      </w:r>
      <w:r>
        <w:rPr>
          <w:i/>
          <w:iCs/>
        </w:rPr>
        <w:t xml:space="preserve">joy</w:t>
      </w:r>
      <w:r>
        <w:t xml:space="preserve"> </w:t>
      </w:r>
      <w:r>
        <w:t xml:space="preserve">— a word Moses repeats with deliberate emphasis. Male Israelites are required to appear before the LORD three times a year, and</w:t>
      </w:r>
      <w:r>
        <w:t xml:space="preserve"> </w:t>
      </w:r>
      <w:r>
        <w:rPr>
          <w:i/>
          <w:iCs/>
        </w:rPr>
        <w:t xml:space="preserve">none shall appear before the LORD empty-handed</w:t>
      </w:r>
      <w:r>
        <w:t xml:space="preserve">. The final section (vv. 18–22) anchors the festival community in justice and uncompromised worship — not as an appendix but as the institutional infrastructure required to sustain the covenant life the festivals embody.</w:t>
      </w:r>
    </w:p>
    <w:p>
      <w:pPr>
        <w:pStyle w:val="BodyText"/>
      </w:pPr>
      <w:r>
        <w:rPr>
          <w:b/>
          <w:bCs/>
        </w:rPr>
        <w:t xml:space="preserve">This Text — Intent:</w:t>
      </w:r>
    </w:p>
    <w:p>
      <w:pPr>
        <w:pStyle w:val="BodyText"/>
      </w:pPr>
      <w:r>
        <w:t xml:space="preserve">God is seeking to form Israel into a people whose identity, memory, and joy are constituted by His redemptive acts — a people who return regularly and deliberately to the places and practices that re-narrate who they are and where they came from. The festivals are not religious obligations imposed from outside; they are the rhythm by which Israel is kept from forgetting. The intent is simultaneously backward-looking (remember Egypt, remember the wilderness), present-shaping (rejoice now, give generously now, include the marginalized now), and institutional (sustain just structures and pure worship so the covenant community can endure). God is calling Israel to let His calendar, not the Canaanite calendar, define their year — and therefore their identity.</w:t>
      </w:r>
    </w:p>
    <w:p>
      <w:r>
        <w:pict>
          <v:rect style="width:0;height:1.5pt" o:hralign="center" o:hrstd="t" o:hr="t"/>
        </w:pict>
      </w:r>
    </w:p>
    <w:p>
      <w:pPr>
        <w:pStyle w:val="FirstParagraph"/>
      </w:pPr>
      <w:r>
        <w:rPr>
          <w:b/>
          <w:bCs/>
        </w:rPr>
        <w:t xml:space="preserve">Subject Sentence:</w:t>
      </w:r>
      <w:r>
        <w:t xml:space="preserve"> </w:t>
      </w:r>
      <w:r>
        <w:t xml:space="preserve">God establishes Israel’s annual rhythm of remembrance, joy, and justice around His redemptive acts.</w:t>
      </w:r>
    </w:p>
    <w:p>
      <w:r>
        <w:pict>
          <v:rect style="width:0;height:1.5pt" o:hralign="center" o:hrstd="t" o:hr="t"/>
        </w:pict>
      </w:r>
    </w:p>
    <w:p>
      <w:pPr>
        <w:pStyle w:val="FirstParagraph"/>
      </w:pPr>
      <w:r>
        <w:rPr>
          <w:b/>
          <w:bCs/>
        </w:rPr>
        <w:t xml:space="preserve">Primary Claim:</w:t>
      </w:r>
      <w:r>
        <w:t xml:space="preserve"> </w:t>
      </w:r>
      <w:r>
        <w:t xml:space="preserve">God commands His redeemed people to return repeatedly to the defining moments of their deliverance — not as religious duty but as the God-appointed means by which memory is kept alive, identity is preserved, gratitude is expressed proportionately, joy is commanded and communal, and justice is sustained — so that they become a people who</w:t>
      </w:r>
      <w:r>
        <w:t xml:space="preserve"> </w:t>
      </w:r>
      <w:r>
        <w:rPr>
          <w:i/>
          <w:iCs/>
        </w:rPr>
        <w:t xml:space="preserve">live</w:t>
      </w:r>
      <w:r>
        <w:t xml:space="preserve"> </w:t>
      </w:r>
      <w:r>
        <w:t xml:space="preserve">from what God has done rather than drift toward what the surrounding culture offers.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Centralizing Formula and Its Significance</w:t>
      </w:r>
    </w:p>
    <w:p>
      <w:pPr>
        <w:pStyle w:val="BodyText"/>
      </w:pPr>
      <w:r>
        <w:t xml:space="preserve">The repeated phrase</w:t>
      </w:r>
      <w:r>
        <w:t xml:space="preserve"> </w:t>
      </w:r>
      <w:r>
        <w:t xml:space="preserve">“at the place the LORD your God will choose”</w:t>
      </w:r>
      <w:r>
        <w:t xml:space="preserve"> </w:t>
      </w:r>
      <w:r>
        <w:t xml:space="preserve">(vv. 2, 6, 7, 11, 15, 16) is one of Deuteronomy’s most theologically loaded formulations. Some critical scholarship treats this as a late Deuteronomistic polemic designed to legitimize Jerusalem’s temple cult against northern sanctuaries — a redactional imposition rather than Mosaic instruction. This reading, while influential in source-critical scholarship, runs against the literary and theological grain of Deuteronomy itself, which presents centralization as covenant faithfulness, not cultic politics. The Reformed reading treats the centralizing formula as theologically coherent with the covenant’s structure: the LORD chooses the place of meeting just as He chose Israel — not because the place is inherently sacred, but because covenant encounter requires a defined locus that Israel does not get to select or relocate by preference. This reading is to be preferred because it accounts for the formula’s placement within the covenant framework rather than requiring a hypothetical editorial agenda.</w:t>
      </w:r>
    </w:p>
    <w:p>
      <w:pPr>
        <w:pStyle w:val="BodyText"/>
      </w:pPr>
      <w:r>
        <w:rPr>
          <w:b/>
          <w:bCs/>
        </w:rPr>
        <w:t xml:space="preserve">The Relationship Between Festivals and the Passover Lamb</w:t>
      </w:r>
    </w:p>
    <w:p>
      <w:pPr>
        <w:pStyle w:val="BodyText"/>
      </w:pPr>
      <w:r>
        <w:t xml:space="preserve">Some dispensational readings treat the Passover instructions here as primarily prospective — types pointing forward to Christ’s sacrifice, with minimal present applicability to the church. This captures genuine canonical truth (the Passover is indeed fulfilled by Christ, 1 Corinthians 5:7) but can leave the passage’s present-tense force as instruction for covenant community formation underappreciated. The Reformed reading affirms the typological dimension while insisting that the passage’s first-order claim — that redeemed people must regularly re-narrate their deliverance — applies directly to the new covenant community through the Lord’s Supper, the Christian Sabbath, and the church’s annual rehearsal of the gospel. The typological reading is</w:t>
      </w:r>
      <w:r>
        <w:t xml:space="preserve"> </w:t>
      </w:r>
      <w:r>
        <w:rPr>
          <w:i/>
          <w:iCs/>
        </w:rPr>
        <w:t xml:space="preserve">acknowledged</w:t>
      </w:r>
      <w:r>
        <w:t xml:space="preserve"> </w:t>
      </w:r>
      <w:r>
        <w:t xml:space="preserve">as a genuine contribution to canonical interpretation; it is</w:t>
      </w:r>
      <w:r>
        <w:t xml:space="preserve"> </w:t>
      </w:r>
      <w:r>
        <w:rPr>
          <w:i/>
          <w:iCs/>
        </w:rPr>
        <w:t xml:space="preserve">qualified</w:t>
      </w:r>
      <w:r>
        <w:t xml:space="preserve"> </w:t>
      </w:r>
      <w:r>
        <w:t xml:space="preserve">where it displaces the passage’s formative and communal intention.</w:t>
      </w:r>
    </w:p>
    <w:p>
      <w:pPr>
        <w:pStyle w:val="BodyText"/>
      </w:pPr>
      <w:r>
        <w:rPr>
          <w:b/>
          <w:bCs/>
        </w:rPr>
        <w:t xml:space="preserve">Joy as Command</w:t>
      </w:r>
    </w:p>
    <w:p>
      <w:pPr>
        <w:pStyle w:val="BodyText"/>
      </w:pPr>
      <w:r>
        <w:t xml:space="preserve">Some Wesleyan and charismatic readings emphasize the joy commands (vv. 11, 14–15) as evidence that genuine religious experience should be emotionally expressive and celebratory, using this passage to ground a theology of affective worship. The text genuinely supports the observation that joy is not optional — it is commanded, communal, and inclusive (the text explicitly includes servants, Levites, foreigners, widows, and orphans in the rejoicing). However, the passage locates joy not in subjective experience or emotional climate but in remembrance of redemption and gratitude for harvest. Joy here is</w:t>
      </w:r>
      <w:r>
        <w:t xml:space="preserve"> </w:t>
      </w:r>
      <w:r>
        <w:rPr>
          <w:i/>
          <w:iCs/>
        </w:rPr>
        <w:t xml:space="preserve">responsive</w:t>
      </w:r>
      <w:r>
        <w:t xml:space="preserve"> </w:t>
      </w:r>
      <w:r>
        <w:t xml:space="preserve">and</w:t>
      </w:r>
      <w:r>
        <w:t xml:space="preserve"> </w:t>
      </w:r>
      <w:r>
        <w:rPr>
          <w:i/>
          <w:iCs/>
        </w:rPr>
        <w:t xml:space="preserve">content-directed</w:t>
      </w:r>
      <w:r>
        <w:t xml:space="preserve">, not mood-generated. The Reformed reading affirms that joy is commanded and genuine while</w:t>
      </w:r>
      <w:r>
        <w:t xml:space="preserve"> </w:t>
      </w:r>
      <w:r>
        <w:rPr>
          <w:i/>
          <w:iCs/>
        </w:rPr>
        <w:t xml:space="preserve">qualifying</w:t>
      </w:r>
      <w:r>
        <w:t xml:space="preserve"> </w:t>
      </w:r>
      <w:r>
        <w:t xml:space="preserve">the reading that would ground it in experiential intensity rather than theological memory.</w:t>
      </w:r>
    </w:p>
    <w:p>
      <w:pPr>
        <w:pStyle w:val="BodyText"/>
      </w:pPr>
      <w:r>
        <w:rPr>
          <w:b/>
          <w:bCs/>
        </w:rPr>
        <w:t xml:space="preserve">The Judges Pericope (vv. 18–22) as Disconnected Appendix</w:t>
      </w:r>
    </w:p>
    <w:p>
      <w:pPr>
        <w:pStyle w:val="BodyText"/>
      </w:pPr>
      <w:r>
        <w:t xml:space="preserve">Some expositors treat verses 18–22 as an unrelated administrative section awkwardly appended to the festival calendar. This reading fails to account for the literary logic of Deuteronomy, where covenant law is always integrated. The appointment of judges who pursue</w:t>
      </w:r>
      <w:r>
        <w:t xml:space="preserve"> </w:t>
      </w:r>
      <w:r>
        <w:rPr>
          <w:i/>
          <w:iCs/>
        </w:rPr>
        <w:t xml:space="preserve">justice alone</w:t>
      </w:r>
      <w:r>
        <w:t xml:space="preserve"> </w:t>
      </w:r>
      <w:r>
        <w:t xml:space="preserve">(v. 20) and the prohibition of pagan cultic objects beside the LORD’s altar are the institutional and worship-purity conditions that make the festival community sustainable. Israel cannot genuinely celebrate Passover in a community riddled with perversion of justice or compromised by syncretism. The Reformed reading</w:t>
      </w:r>
      <w:r>
        <w:t xml:space="preserve"> </w:t>
      </w:r>
      <w:r>
        <w:rPr>
          <w:i/>
          <w:iCs/>
        </w:rPr>
        <w:t xml:space="preserve">refutes</w:t>
      </w:r>
      <w:r>
        <w:t xml:space="preserve"> </w:t>
      </w:r>
      <w:r>
        <w:t xml:space="preserve">the disconnected reading and insists that vv. 18–22 name the social and cultic conditions required for the covenant life the festivals embody to be real rather than performative.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12:1–28</w:t>
      </w:r>
      <w:r>
        <w:t xml:space="preserve"> </w:t>
      </w:r>
      <w:r>
        <w:t xml:space="preserve">— The original Passover institution; Deuteronomy 16 is Moses’ recapitulation of that founding event for the generation entering the land, now including the centralizing formula absent from Exodus.</w:t>
      </w:r>
    </w:p>
    <w:p>
      <w:pPr>
        <w:numPr>
          <w:ilvl w:val="0"/>
          <w:numId w:val="1001"/>
        </w:numPr>
      </w:pPr>
      <w:r>
        <w:rPr>
          <w:b/>
          <w:bCs/>
        </w:rPr>
        <w:t xml:space="preserve">Leviticus 23:1–44</w:t>
      </w:r>
      <w:r>
        <w:t xml:space="preserve"> </w:t>
      </w:r>
      <w:r>
        <w:t xml:space="preserve">— The full festival calendar in its priestly form; comparison with Deuteronomy 16 reveals Deuteronomy’s distinctive pastoral emphases: joy, inclusion of the marginalized, proportionate giving, and covenant memory.</w:t>
      </w:r>
    </w:p>
    <w:p>
      <w:pPr>
        <w:numPr>
          <w:ilvl w:val="0"/>
          <w:numId w:val="1001"/>
        </w:numPr>
      </w:pPr>
      <w:r>
        <w:rPr>
          <w:b/>
          <w:bCs/>
        </w:rPr>
        <w:t xml:space="preserve">1 Corinthians 5:6–8</w:t>
      </w:r>
      <w:r>
        <w:t xml:space="preserve"> </w:t>
      </w:r>
      <w:r>
        <w:t xml:space="preserve">— Paul explicitly invokes the Passover typology (</w:t>
      </w:r>
      <w:r>
        <w:t xml:space="preserve">“Christ, our Passover lamb, has been sacrificed”</w:t>
      </w:r>
      <w:r>
        <w:t xml:space="preserve">) as the ground for a community that purges sin and celebrates the festival in sincerity and truth — demonstrating canonical continuity between the Israelite festival rhythm and the new covenant community’s self-understanding.</w:t>
      </w:r>
    </w:p>
    <w:p>
      <w:pPr>
        <w:numPr>
          <w:ilvl w:val="0"/>
          <w:numId w:val="1001"/>
        </w:numPr>
      </w:pPr>
      <w:r>
        <w:rPr>
          <w:b/>
          <w:bCs/>
        </w:rPr>
        <w:t xml:space="preserve">Luke 22:14–20</w:t>
      </w:r>
      <w:r>
        <w:t xml:space="preserve"> </w:t>
      </w:r>
      <w:r>
        <w:t xml:space="preserve">— The Last Supper recasts Passover as its own fulfillment; Jesus deliberately positions His death within the Passover framework, and the Lord’s Supper becomes the new covenant festival of remembrance — the church’s</w:t>
      </w:r>
      <w:r>
        <w:t xml:space="preserve"> </w:t>
      </w:r>
      <w:r>
        <w:t xml:space="preserve">“do this in remembrance of me”</w:t>
      </w:r>
      <w:r>
        <w:t xml:space="preserve"> </w:t>
      </w:r>
      <w:r>
        <w:t xml:space="preserve">is Deuteronomy 16’s</w:t>
      </w:r>
      <w:r>
        <w:t xml:space="preserve"> </w:t>
      </w:r>
      <w:r>
        <w:rPr>
          <w:i/>
          <w:iCs/>
        </w:rPr>
        <w:t xml:space="preserve">observe the month of Abib</w:t>
      </w:r>
      <w:r>
        <w:t xml:space="preserve"> </w:t>
      </w:r>
      <w:r>
        <w:t xml:space="preserve">in its new covenant register.</w:t>
      </w:r>
    </w:p>
    <w:p>
      <w:pPr>
        <w:numPr>
          <w:ilvl w:val="0"/>
          <w:numId w:val="1001"/>
        </w:numPr>
      </w:pPr>
      <w:r>
        <w:rPr>
          <w:b/>
          <w:bCs/>
        </w:rPr>
        <w:t xml:space="preserve">Nehemiah 8:13–18</w:t>
      </w:r>
      <w:r>
        <w:t xml:space="preserve"> </w:t>
      </w:r>
      <w:r>
        <w:t xml:space="preserve">— The post-exilic community’s rediscovery of the Feast of Booths and their celebration of it with great joy — citing that it had not been observed since the days of Joshua — illustrates how the festival calendar functions as the means by which a covenant community recovers its identity after collapse and drift.</w:t>
      </w:r>
    </w:p>
    <w:p>
      <w:r>
        <w:pict>
          <v:rect style="width:0;height:1.5pt" o:hralign="center" o:hrstd="t" o:hr="t"/>
        </w:pict>
      </w:r>
    </w:p>
    <w:p>
      <w:pPr>
        <w:pStyle w:val="FirstParagraph"/>
      </w:pPr>
      <w:r>
        <w:rPr>
          <w:b/>
          <w:bCs/>
        </w:rPr>
        <w:t xml:space="preserve">Aim:</w:t>
      </w:r>
      <w:r>
        <w:t xml:space="preserve"> </w:t>
      </w:r>
      <w:r>
        <w:t xml:space="preserve">To demonstrate that God’s command to Israel to observe the festival calendar is His appointed means for forming a people whose identity, memory, joy, and justice are constituted by His redemptive acts — and to press that same forming intention onto the new covenant community.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Command to observe the Passover in the month of Abib; grounded in the Exodus from Egypt</w:t>
            </w:r>
          </w:p>
        </w:tc>
        <w:tc>
          <w:tcPr/>
          <w:p>
            <w:pPr>
              <w:pStyle w:val="Compact"/>
            </w:pPr>
            <w:r>
              <w:t xml:space="preserve">“Abib”</w:t>
            </w:r>
            <w:r>
              <w:t xml:space="preserve"> </w:t>
            </w:r>
            <w:r>
              <w:t xml:space="preserve">= the month of the barley harvest; later called Nisan; redemption locates Israel in time</w:t>
            </w:r>
          </w:p>
        </w:tc>
      </w:tr>
      <w:tr>
        <w:tc>
          <w:tcPr/>
          <w:p>
            <w:pPr>
              <w:pStyle w:val="Compact"/>
            </w:pPr>
            <w:r>
              <w:t xml:space="preserve">2</w:t>
            </w:r>
          </w:p>
        </w:tc>
        <w:tc>
          <w:tcPr/>
          <w:p>
            <w:pPr>
              <w:pStyle w:val="Compact"/>
            </w:pPr>
            <w:r>
              <w:t xml:space="preserve">Sacrifice from the flock and herd at the place the LORD will choose</w:t>
            </w:r>
          </w:p>
        </w:tc>
        <w:tc>
          <w:tcPr/>
          <w:p>
            <w:pPr>
              <w:pStyle w:val="Compact"/>
            </w:pPr>
            <w:r>
              <w:t xml:space="preserve">First occurrence of the centralizing formula; unifies all three festivals</w:t>
            </w:r>
          </w:p>
        </w:tc>
      </w:tr>
      <w:tr>
        <w:tc>
          <w:tcPr/>
          <w:p>
            <w:pPr>
              <w:pStyle w:val="Compact"/>
            </w:pPr>
            <w:r>
              <w:t xml:space="preserve">3</w:t>
            </w:r>
          </w:p>
        </w:tc>
        <w:tc>
          <w:tcPr/>
          <w:p>
            <w:pPr>
              <w:pStyle w:val="Compact"/>
            </w:pPr>
            <w:r>
              <w:t xml:space="preserve">No leavened bread with the sacrifice; seven days of unleavened bread;</w:t>
            </w:r>
            <w:r>
              <w:t xml:space="preserve"> </w:t>
            </w:r>
            <w:r>
              <w:t xml:space="preserve">“bread of affliction”</w:t>
            </w:r>
          </w:p>
        </w:tc>
        <w:tc>
          <w:tcPr/>
          <w:p>
            <w:pPr>
              <w:pStyle w:val="Compact"/>
            </w:pPr>
            <w:r>
              <w:t xml:space="preserve">Memory embedded in physical experience; taste becomes theological act</w:t>
            </w:r>
          </w:p>
        </w:tc>
      </w:tr>
      <w:tr>
        <w:tc>
          <w:tcPr/>
          <w:p>
            <w:pPr>
              <w:pStyle w:val="Compact"/>
            </w:pPr>
            <w:r>
              <w:t xml:space="preserve">4</w:t>
            </w:r>
          </w:p>
        </w:tc>
        <w:tc>
          <w:tcPr/>
          <w:p>
            <w:pPr>
              <w:pStyle w:val="Compact"/>
            </w:pPr>
            <w:r>
              <w:t xml:space="preserve">No leaven in all Israel for seven days; nothing of the Passover sacrifice remains until morning</w:t>
            </w:r>
          </w:p>
        </w:tc>
        <w:tc>
          <w:tcPr/>
          <w:p>
            <w:pPr>
              <w:pStyle w:val="Compact"/>
            </w:pPr>
            <w:r>
              <w:t xml:space="preserve">Urgency and completeness of the feast; no partial or casual observance</w:t>
            </w:r>
          </w:p>
        </w:tc>
      </w:tr>
      <w:tr>
        <w:tc>
          <w:tcPr/>
          <w:p>
            <w:pPr>
              <w:pStyle w:val="Compact"/>
            </w:pPr>
            <w:r>
              <w:t xml:space="preserve">5–6</w:t>
            </w:r>
          </w:p>
        </w:tc>
        <w:tc>
          <w:tcPr/>
          <w:p>
            <w:pPr>
              <w:pStyle w:val="Compact"/>
            </w:pPr>
            <w:r>
              <w:t xml:space="preserve">Passover not observed in local towns; only at the LORD’s chosen place, at the time of the Exodus (evening)</w:t>
            </w:r>
          </w:p>
        </w:tc>
        <w:tc>
          <w:tcPr/>
          <w:p>
            <w:pPr>
              <w:pStyle w:val="Compact"/>
            </w:pPr>
            <w:r>
              <w:t xml:space="preserve">Centralizing formula repeated; the time of day itself carries memorial weight</w:t>
            </w:r>
          </w:p>
        </w:tc>
      </w:tr>
      <w:tr>
        <w:tc>
          <w:tcPr/>
          <w:p>
            <w:pPr>
              <w:pStyle w:val="Compact"/>
            </w:pPr>
            <w:r>
              <w:t xml:space="preserve">7</w:t>
            </w:r>
          </w:p>
        </w:tc>
        <w:tc>
          <w:tcPr/>
          <w:p>
            <w:pPr>
              <w:pStyle w:val="Compact"/>
            </w:pPr>
            <w:r>
              <w:t xml:space="preserve">Sacrifice at the chosen place; return to tents in the morning</w:t>
            </w:r>
          </w:p>
        </w:tc>
        <w:tc>
          <w:tcPr/>
          <w:p>
            <w:pPr>
              <w:pStyle w:val="Compact"/>
            </w:pPr>
            <w:r>
              <w:t xml:space="preserve">The act of cooking and returning carries communal structure</w:t>
            </w:r>
          </w:p>
        </w:tc>
      </w:tr>
      <w:tr>
        <w:tc>
          <w:tcPr/>
          <w:p>
            <w:pPr>
              <w:pStyle w:val="Compact"/>
            </w:pPr>
            <w:r>
              <w:t xml:space="preserve">8</w:t>
            </w:r>
          </w:p>
        </w:tc>
        <w:tc>
          <w:tcPr/>
          <w:p>
            <w:pPr>
              <w:pStyle w:val="Compact"/>
            </w:pPr>
            <w:r>
              <w:t xml:space="preserve">Six days of unleavened bread; seventh day is a solemn assembly; no work</w:t>
            </w:r>
          </w:p>
        </w:tc>
        <w:tc>
          <w:tcPr/>
          <w:p>
            <w:pPr>
              <w:pStyle w:val="Compact"/>
            </w:pPr>
            <w:r>
              <w:t xml:space="preserve">Sabbath logic embedded in the feast calendar</w:t>
            </w:r>
          </w:p>
        </w:tc>
      </w:tr>
      <w:tr>
        <w:tc>
          <w:tcPr/>
          <w:p>
            <w:pPr>
              <w:pStyle w:val="Compact"/>
            </w:pPr>
            <w:r>
              <w:t xml:space="preserve">9–10</w:t>
            </w:r>
          </w:p>
        </w:tc>
        <w:tc>
          <w:tcPr/>
          <w:p>
            <w:pPr>
              <w:pStyle w:val="Compact"/>
            </w:pPr>
            <w:r>
              <w:t xml:space="preserve">Count seven weeks from the first harvest sickle; celebrate the Feast of Weeks with a freewill offering proportionate to blessing</w:t>
            </w:r>
          </w:p>
        </w:tc>
        <w:tc>
          <w:tcPr/>
          <w:p>
            <w:pPr>
              <w:pStyle w:val="Compact"/>
            </w:pPr>
            <w:r>
              <w:t xml:space="preserve">Weeks ties harvest thanksgiving directly to redemptive generosity; no fixed amount — abundance determines offering</w:t>
            </w:r>
          </w:p>
        </w:tc>
      </w:tr>
      <w:tr>
        <w:tc>
          <w:tcPr/>
          <w:p>
            <w:pPr>
              <w:pStyle w:val="Compact"/>
            </w:pPr>
            <w:r>
              <w:t xml:space="preserve">11</w:t>
            </w:r>
          </w:p>
        </w:tc>
        <w:tc>
          <w:tcPr/>
          <w:p>
            <w:pPr>
              <w:pStyle w:val="Compact"/>
            </w:pPr>
            <w:r>
              <w:t xml:space="preserve">Rejoice before the LORD with household, servants, Levites, foreigners, orphans, and widows</w:t>
            </w:r>
          </w:p>
        </w:tc>
        <w:tc>
          <w:tcPr/>
          <w:p>
            <w:pPr>
              <w:pStyle w:val="Compact"/>
            </w:pPr>
            <w:r>
              <w:t xml:space="preserve">Joy is commanded; its scope is explicitly inclusive; the marginalized are named</w:t>
            </w:r>
          </w:p>
        </w:tc>
      </w:tr>
      <w:tr>
        <w:tc>
          <w:tcPr/>
          <w:p>
            <w:pPr>
              <w:pStyle w:val="Compact"/>
            </w:pPr>
            <w:r>
              <w:t xml:space="preserve">12</w:t>
            </w:r>
          </w:p>
        </w:tc>
        <w:tc>
          <w:tcPr/>
          <w:p>
            <w:pPr>
              <w:pStyle w:val="Compact"/>
            </w:pPr>
            <w:r>
              <w:t xml:space="preserve">Remember that you were a slave in Egypt</w:t>
            </w:r>
          </w:p>
        </w:tc>
        <w:tc>
          <w:tcPr/>
          <w:p>
            <w:pPr>
              <w:pStyle w:val="Compact"/>
            </w:pPr>
            <w:r>
              <w:t xml:space="preserve">The motivational ground of inclusion: Israel’s own servitude funds their generosity to the vulnerable</w:t>
            </w:r>
          </w:p>
        </w:tc>
      </w:tr>
      <w:tr>
        <w:tc>
          <w:tcPr/>
          <w:p>
            <w:pPr>
              <w:pStyle w:val="Compact"/>
            </w:pPr>
            <w:r>
              <w:t xml:space="preserve">13–15</w:t>
            </w:r>
          </w:p>
        </w:tc>
        <w:tc>
          <w:tcPr/>
          <w:p>
            <w:pPr>
              <w:pStyle w:val="Compact"/>
            </w:pPr>
            <w:r>
              <w:t xml:space="preserve">Feast of Booths: seven days after gathering harvest; rejoice at the chosen place; God will bless all your work and your joy will be complete</w:t>
            </w:r>
          </w:p>
        </w:tc>
        <w:tc>
          <w:tcPr/>
          <w:p>
            <w:pPr>
              <w:pStyle w:val="Compact"/>
            </w:pPr>
            <w:r>
              <w:t xml:space="preserve">Booths closes the agricultural year; joy is again commanded and declared complete; blessing is God’s gift in response to obedient celebration</w:t>
            </w:r>
          </w:p>
        </w:tc>
      </w:tr>
      <w:tr>
        <w:tc>
          <w:tcPr/>
          <w:p>
            <w:pPr>
              <w:pStyle w:val="Compact"/>
            </w:pPr>
            <w:r>
              <w:t xml:space="preserve">16</w:t>
            </w:r>
          </w:p>
        </w:tc>
        <w:tc>
          <w:tcPr/>
          <w:p>
            <w:pPr>
              <w:pStyle w:val="Compact"/>
            </w:pPr>
            <w:r>
              <w:t xml:space="preserve">Three times a year all males appear before the LORD; lists the three festivals</w:t>
            </w:r>
          </w:p>
        </w:tc>
        <w:tc>
          <w:tcPr/>
          <w:p>
            <w:pPr>
              <w:pStyle w:val="Compact"/>
            </w:pPr>
            <w:r>
              <w:t xml:space="preserve">Summary of the annual pilgrimage requirement</w:t>
            </w:r>
          </w:p>
        </w:tc>
      </w:tr>
      <w:tr>
        <w:tc>
          <w:tcPr/>
          <w:p>
            <w:pPr>
              <w:pStyle w:val="Compact"/>
            </w:pPr>
            <w:r>
              <w:t xml:space="preserve">17</w:t>
            </w:r>
          </w:p>
        </w:tc>
        <w:tc>
          <w:tcPr/>
          <w:p>
            <w:pPr>
              <w:pStyle w:val="Compact"/>
            </w:pPr>
            <w:r>
              <w:t xml:space="preserve">Each gives as he is able, according to the blessing of the LORD</w:t>
            </w:r>
          </w:p>
        </w:tc>
        <w:tc>
          <w:tcPr/>
          <w:p>
            <w:pPr>
              <w:pStyle w:val="Compact"/>
            </w:pPr>
            <w:r>
              <w:t xml:space="preserve">Proportionate giving is the response to proportionate blessing; generosity is not uniform but calibrated to received grace</w:t>
            </w:r>
          </w:p>
        </w:tc>
      </w:tr>
      <w:tr>
        <w:tc>
          <w:tcPr/>
          <w:p>
            <w:pPr>
              <w:pStyle w:val="Compact"/>
            </w:pPr>
            <w:r>
              <w:t xml:space="preserve">18</w:t>
            </w:r>
          </w:p>
        </w:tc>
        <w:tc>
          <w:tcPr/>
          <w:p>
            <w:pPr>
              <w:pStyle w:val="Compact"/>
            </w:pPr>
            <w:r>
              <w:t xml:space="preserve">Appoint judges and officials in all towns throughout the tribes</w:t>
            </w:r>
          </w:p>
        </w:tc>
        <w:tc>
          <w:tcPr/>
          <w:p>
            <w:pPr>
              <w:pStyle w:val="Compact"/>
            </w:pPr>
            <w:r>
              <w:t xml:space="preserve">Justice infrastructure is covenant infrastructure; not administrative addition but community-sustaining necessity</w:t>
            </w:r>
          </w:p>
        </w:tc>
      </w:tr>
      <w:tr>
        <w:tc>
          <w:tcPr/>
          <w:p>
            <w:pPr>
              <w:pStyle w:val="Compact"/>
            </w:pPr>
            <w:r>
              <w:t xml:space="preserve">19</w:t>
            </w:r>
          </w:p>
        </w:tc>
        <w:tc>
          <w:tcPr/>
          <w:p>
            <w:pPr>
              <w:pStyle w:val="Compact"/>
            </w:pPr>
            <w:r>
              <w:t xml:space="preserve">Do not pervert justice; do not show partiality; do not accept bribes; bribes blind the wise and twist the words of the righteous</w:t>
            </w:r>
          </w:p>
        </w:tc>
        <w:tc>
          <w:tcPr/>
          <w:p>
            <w:pPr>
              <w:pStyle w:val="Compact"/>
            </w:pPr>
            <w:r>
              <w:t xml:space="preserve">Three prohibitions; each targets a specific mechanism of justice’s corruption</w:t>
            </w:r>
          </w:p>
        </w:tc>
      </w:tr>
      <w:tr>
        <w:tc>
          <w:tcPr/>
          <w:p>
            <w:pPr>
              <w:pStyle w:val="Compact"/>
            </w:pPr>
            <w:r>
              <w:t xml:space="preserve">20</w:t>
            </w:r>
          </w:p>
        </w:tc>
        <w:tc>
          <w:tcPr/>
          <w:p>
            <w:pPr>
              <w:pStyle w:val="Compact"/>
            </w:pPr>
            <w:r>
              <w:t xml:space="preserve">“Justice, and only justice, you shall follow”</w:t>
            </w:r>
          </w:p>
        </w:tc>
        <w:tc>
          <w:tcPr/>
          <w:p>
            <w:pPr>
              <w:pStyle w:val="Compact"/>
            </w:pPr>
            <w:r>
              <w:t xml:space="preserve">The governing maxim of covenant civic life; the repetition (</w:t>
            </w:r>
            <w:r>
              <w:t xml:space="preserve">“justice, justice”</w:t>
            </w:r>
            <w:r>
              <w:t xml:space="preserve">) is emphatic</w:t>
            </w:r>
          </w:p>
        </w:tc>
      </w:tr>
      <w:tr>
        <w:tc>
          <w:tcPr/>
          <w:p>
            <w:pPr>
              <w:pStyle w:val="Compact"/>
            </w:pPr>
            <w:r>
              <w:t xml:space="preserve">20b</w:t>
            </w:r>
          </w:p>
        </w:tc>
        <w:tc>
          <w:tcPr/>
          <w:p>
            <w:pPr>
              <w:pStyle w:val="Compact"/>
            </w:pPr>
            <w:r>
              <w:t xml:space="preserve">Follow justice so that you may live and possess the land</w:t>
            </w:r>
          </w:p>
        </w:tc>
        <w:tc>
          <w:tcPr/>
          <w:p>
            <w:pPr>
              <w:pStyle w:val="Compact"/>
            </w:pPr>
            <w:r>
              <w:t xml:space="preserve">Obedience to justice is tied to covenant blessing and land tenure</w:t>
            </w:r>
          </w:p>
        </w:tc>
      </w:tr>
      <w:tr>
        <w:tc>
          <w:tcPr/>
          <w:p>
            <w:pPr>
              <w:pStyle w:val="Compact"/>
            </w:pPr>
            <w:r>
              <w:t xml:space="preserve">21–22</w:t>
            </w:r>
          </w:p>
        </w:tc>
        <w:tc>
          <w:tcPr/>
          <w:p>
            <w:pPr>
              <w:pStyle w:val="Compact"/>
            </w:pPr>
            <w:r>
              <w:t xml:space="preserve">Do not plant an Asherah pole beside the LORD’s altar; do not erect a standing stone — the LORD hates these</w:t>
            </w:r>
          </w:p>
        </w:tc>
        <w:tc>
          <w:tcPr/>
          <w:p>
            <w:pPr>
              <w:pStyle w:val="Compact"/>
            </w:pPr>
            <w:r>
              <w:t xml:space="preserve">Worship purity is communal purity; the covenant cannot be celebrated with genuine joy while syncretism corrupts the altar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Passover and Unleavened Bread: Remembering the Night of Deliverance</w:t>
            </w:r>
          </w:p>
        </w:tc>
      </w:tr>
      <w:tr>
        <w:tc>
          <w:tcPr/>
          <w:p>
            <w:pPr>
              <w:pStyle w:val="Compact"/>
            </w:pPr>
            <w:r>
              <w:t xml:space="preserve">2</w:t>
            </w:r>
          </w:p>
        </w:tc>
        <w:tc>
          <w:tcPr/>
          <w:p>
            <w:pPr>
              <w:pStyle w:val="Compact"/>
            </w:pPr>
            <w:r>
              <w:t xml:space="preserve">9–12</w:t>
            </w:r>
          </w:p>
        </w:tc>
        <w:tc>
          <w:tcPr/>
          <w:p>
            <w:pPr>
              <w:pStyle w:val="Compact"/>
            </w:pPr>
            <w:r>
              <w:t xml:space="preserve">Feast of Weeks: Harvest Gratitude Grounded in Redemptive Memory</w:t>
            </w:r>
          </w:p>
        </w:tc>
      </w:tr>
      <w:tr>
        <w:tc>
          <w:tcPr/>
          <w:p>
            <w:pPr>
              <w:pStyle w:val="Compact"/>
            </w:pPr>
            <w:r>
              <w:t xml:space="preserve">3</w:t>
            </w:r>
          </w:p>
        </w:tc>
        <w:tc>
          <w:tcPr/>
          <w:p>
            <w:pPr>
              <w:pStyle w:val="Compact"/>
            </w:pPr>
            <w:r>
              <w:t xml:space="preserve">13–17</w:t>
            </w:r>
          </w:p>
        </w:tc>
        <w:tc>
          <w:tcPr/>
          <w:p>
            <w:pPr>
              <w:pStyle w:val="Compact"/>
            </w:pPr>
            <w:r>
              <w:t xml:space="preserve">Feast of Booths: Joyful Completion and the Proportionate Gift</w:t>
            </w:r>
          </w:p>
        </w:tc>
      </w:tr>
      <w:tr>
        <w:tc>
          <w:tcPr/>
          <w:p>
            <w:pPr>
              <w:pStyle w:val="Compact"/>
            </w:pPr>
            <w:r>
              <w:t xml:space="preserve">4</w:t>
            </w:r>
          </w:p>
        </w:tc>
        <w:tc>
          <w:tcPr/>
          <w:p>
            <w:pPr>
              <w:pStyle w:val="Compact"/>
            </w:pPr>
            <w:r>
              <w:t xml:space="preserve">18–20</w:t>
            </w:r>
          </w:p>
        </w:tc>
        <w:tc>
          <w:tcPr/>
          <w:p>
            <w:pPr>
              <w:pStyle w:val="Compact"/>
            </w:pPr>
            <w:r>
              <w:t xml:space="preserve">Judges and Justice: The Institutional Conditions for Covenant Community</w:t>
            </w:r>
          </w:p>
        </w:tc>
      </w:tr>
      <w:tr>
        <w:tc>
          <w:tcPr/>
          <w:p>
            <w:pPr>
              <w:pStyle w:val="Compact"/>
            </w:pPr>
            <w:r>
              <w:t xml:space="preserve">5</w:t>
            </w:r>
          </w:p>
        </w:tc>
        <w:tc>
          <w:tcPr/>
          <w:p>
            <w:pPr>
              <w:pStyle w:val="Compact"/>
            </w:pPr>
            <w:r>
              <w:t xml:space="preserve">21–22</w:t>
            </w:r>
          </w:p>
        </w:tc>
        <w:tc>
          <w:tcPr/>
          <w:p>
            <w:pPr>
              <w:pStyle w:val="Compact"/>
            </w:pPr>
            <w:r>
              <w:t xml:space="preserve">Purity at the Altar: No Syncretism at the Place of Worship</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establishes Israel’s annual rhythm of remembrance, joy, and justice around His redemptive acts.</w:t>
      </w:r>
    </w:p>
    <w:p>
      <w:pPr>
        <w:pStyle w:val="BodyText"/>
      </w:pPr>
      <w:r>
        <w:rPr>
          <w:b/>
          <w:bCs/>
        </w:rPr>
        <w:t xml:space="preserve">Primary Claim:</w:t>
      </w:r>
      <w:r>
        <w:t xml:space="preserve"> </w:t>
      </w:r>
      <w:r>
        <w:t xml:space="preserve">God commands His redeemed people to return repeatedly to the defining moments of their deliverance — not as religious duty but as the God-appointed means by which memory is kept alive, identity is preserved, gratitude is expressed proportionately, joy is commanded and communal, and justice is sustained — so that they become a people who</w:t>
      </w:r>
      <w:r>
        <w:t xml:space="preserve"> </w:t>
      </w:r>
      <w:r>
        <w:rPr>
          <w:i/>
          <w:iCs/>
        </w:rPr>
        <w:t xml:space="preserve">live</w:t>
      </w:r>
      <w:r>
        <w:t xml:space="preserve"> </w:t>
      </w:r>
      <w:r>
        <w:t xml:space="preserve">from what God has done rather than drift toward what the surrounding culture offers.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rhythms you keep will form you — make sure they are God’s rhythms, not the culture’s.</w:t>
      </w:r>
      <w:r>
        <w:t xml:space="preserve"> </w:t>
      </w:r>
      <w:r>
        <w:rPr>
          <w:i/>
          <w:iCs/>
        </w:rPr>
        <w:t xml:space="preserve">(Mind/Belief)</w:t>
      </w:r>
      <w:r>
        <w:t xml:space="preserve"> </w:t>
      </w:r>
      <w:r>
        <w:t xml:space="preserve">Israel was commanded to return to the appointed festivals precisely because the alternative was not neutrality — it was Canaanite religious rhythms, Canaanite agricultural festivals, a Canaanite calendar that would form them into a different people around different gods. The question for every believer and congregation is not whether you are being formed by recurring practices, but which practices are forming you. The Lord’s Day, the Lord’s Supper, corporate worship, the church year, the reading of Scripture — these are not optional supplements to a self-directed spiritual life. They are the appointed means by which God keeps His people from becoming someone else. Name what rhythms are actually shaping your week, your year, your identity — and evaluate whether they are bringing you back to what God has done or carrying you forward into what the culture offers.</w:t>
      </w:r>
    </w:p>
    <w:p>
      <w:pPr>
        <w:pStyle w:val="BodyText"/>
      </w:pPr>
      <w:r>
        <w:rPr>
          <w:b/>
          <w:bCs/>
        </w:rPr>
        <w:t xml:space="preserve">2. You cannot sustain joy in God’s presence while perverting justice toward His image-bearers.</w:t>
      </w:r>
      <w:r>
        <w:t xml:space="preserve"> </w:t>
      </w:r>
      <w:r>
        <w:rPr>
          <w:i/>
          <w:iCs/>
        </w:rPr>
        <w:t xml:space="preserve">(Affections/Worship)</w:t>
      </w:r>
      <w:r>
        <w:t xml:space="preserve"> </w:t>
      </w:r>
      <w:r>
        <w:t xml:space="preserve">The proximity of the festival commands (vv. 1–17) and the justice commands (vv. 18–20) is not accidental. A community that gathers three times a year to celebrate the God who redeemed slaves from Egypt and then perverts justice, takes bribes, or shows partiality in its courts is living a profound contradiction. The Feast of Weeks explicitly grounds its inclusion of servants, foreigners, orphans, and widows in Israel’s own memory of servitude (v. 12):</w:t>
      </w:r>
      <w:r>
        <w:t xml:space="preserve"> </w:t>
      </w:r>
      <w:r>
        <w:rPr>
          <w:i/>
          <w:iCs/>
        </w:rPr>
        <w:t xml:space="preserve">“you shall remember that you were a slave in Egypt.”</w:t>
      </w:r>
      <w:r>
        <w:t xml:space="preserve"> </w:t>
      </w:r>
      <w:r>
        <w:t xml:space="preserve">Worship that does not produce justice-shaped community is not incomplete worship — it is dishonest worship. Let the festivals of remembrance do their forming work on your affections toward the vulnerable, not only your emotions toward God.</w:t>
      </w:r>
    </w:p>
    <w:p>
      <w:pPr>
        <w:pStyle w:val="BodyText"/>
      </w:pPr>
      <w:r>
        <w:rPr>
          <w:b/>
          <w:bCs/>
        </w:rPr>
        <w:t xml:space="preserve">3. Gratitude proportionate to blessing is the heart of covenant giving — stop giving uniformly when God has blessed you abundantly.</w:t>
      </w:r>
      <w:r>
        <w:t xml:space="preserve"> </w:t>
      </w:r>
      <w:r>
        <w:rPr>
          <w:i/>
          <w:iCs/>
        </w:rPr>
        <w:t xml:space="preserve">(Will/Behavior)</w:t>
      </w:r>
      <w:r>
        <w:t xml:space="preserve"> </w:t>
      </w:r>
      <w:r>
        <w:t xml:space="preserve">Verse 17 is precise:</w:t>
      </w:r>
      <w:r>
        <w:t xml:space="preserve"> </w:t>
      </w:r>
      <w:r>
        <w:t xml:space="preserve">“Every man shall give as he is able, according to the blessing of the LORD your God that he has given you.”</w:t>
      </w:r>
      <w:r>
        <w:t xml:space="preserve"> </w:t>
      </w:r>
      <w:r>
        <w:t xml:space="preserve">The Feast of Weeks involved a freewill offering calibrated to harvest received (v. 10). Israel was not given a fixed tithe amount for the pilgrimage festival — they were told to look at what God had given and respond accordingly. For many believers, the practice of giving has become disconnected from the actual experience of blessing — a fixed percentage or a fixed amount that never recalibrates as God’s generosity increases. Deuteronomy 16 invites a different posture: take stock of what God has actually given you this year, and let your giving be proportionate to that reckoning. More blessing received warrants more gratitude expressed.</w:t>
      </w:r>
    </w:p>
    <w:p>
      <w:pPr>
        <w:pStyle w:val="BodyText"/>
      </w:pPr>
      <w:r>
        <w:rPr>
          <w:b/>
          <w:bCs/>
        </w:rPr>
        <w:t xml:space="preserve">4. Remember what you were before God acted — and let that memory kill your contempt for the struggling.</w:t>
      </w:r>
      <w:r>
        <w:t xml:space="preserve"> </w:t>
      </w:r>
      <w:r>
        <w:rPr>
          <w:i/>
          <w:iCs/>
        </w:rPr>
        <w:t xml:space="preserve">(Affections/Worship)</w:t>
      </w:r>
      <w:r>
        <w:t xml:space="preserve"> </w:t>
      </w:r>
      <w:r>
        <w:t xml:space="preserve">Three times the chapter grounds ethical obligation in memorial:</w:t>
      </w:r>
      <w:r>
        <w:t xml:space="preserve"> </w:t>
      </w:r>
      <w:r>
        <w:t xml:space="preserve">“remember that you were a slave in Egypt”</w:t>
      </w:r>
      <w:r>
        <w:t xml:space="preserve"> </w:t>
      </w:r>
      <w:r>
        <w:t xml:space="preserve">(vv. 3, 12; cf. v. 22 implicitly). The bread of affliction is not only backward-looking theology — it is the motivation for present generosity and inclusion. Israel’s treatment of the Levite, the foreigner, the orphan, and the widow was to be governed by their own experience of marginality. The same memorial logic applies to the new covenant believer: you were enslaved to sin, alienated from God, without covenant hope — and God included you. That memory should function as the death of pride and the birth of compassion. If you find yourself unable to extend patience, grace, or generosity to struggling people, it is likely because you have stopped remembering what you were before you were redeemed.</w:t>
      </w:r>
    </w:p>
    <w:p>
      <w:pPr>
        <w:pStyle w:val="BodyText"/>
      </w:pPr>
      <w:r>
        <w:rPr>
          <w:b/>
          <w:bCs/>
        </w:rPr>
        <w:t xml:space="preserve">5. Do not bring syncretism to the place of worship and expect genuine encounter with God.</w:t>
      </w:r>
      <w:r>
        <w:t xml:space="preserve"> </w:t>
      </w:r>
      <w:r>
        <w:rPr>
          <w:i/>
          <w:iCs/>
        </w:rPr>
        <w:t xml:space="preserve">(Will/Behavior)</w:t>
      </w:r>
      <w:r>
        <w:t xml:space="preserve"> </w:t>
      </w:r>
      <w:r>
        <w:t xml:space="preserve">Verses 21–22 close the chapter with a stark prohibition: no Asherah pole, no standing stone, beside the LORD’s altar. The LORD</w:t>
      </w:r>
      <w:r>
        <w:t xml:space="preserve"> </w:t>
      </w:r>
      <w:r>
        <w:rPr>
          <w:i/>
          <w:iCs/>
        </w:rPr>
        <w:t xml:space="preserve">hates</w:t>
      </w:r>
      <w:r>
        <w:t xml:space="preserve"> </w:t>
      </w:r>
      <w:r>
        <w:t xml:space="preserve">these. Syncretism — the blending of covenant worship with the religious forms and assumptions of the surrounding culture — does not enrich worship; it corrupts it at the source. The principle is not limited to carved poles. What assumptions about God, what cultural spiritualities, what consumer preferences are being smuggled into the altar of your personal worship or your congregation’s gathered worship? The chapter began with a commanded return to the place the LORD chooses, on the terms He sets, in the manner He prescribes. It ends by naming what makes that encounter impossible. You cannot celebrate the Passover genuinely while worshipping with the methods and assumptions of the Canaanites. You cannot encounter the living God while importing the living God’s replacements.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16 reveals that God is not merely the object of worship but the</w:t>
      </w:r>
      <w:r>
        <w:t xml:space="preserve"> </w:t>
      </w:r>
      <w:r>
        <w:rPr>
          <w:i/>
          <w:iCs/>
        </w:rPr>
        <w:t xml:space="preserve">architect of the conditions</w:t>
      </w:r>
      <w:r>
        <w:t xml:space="preserve"> </w:t>
      </w:r>
      <w:r>
        <w:t xml:space="preserve">under which genuine covenant life is possible. The three festivals demonstrate that God takes responsibility for structuring Israel’s time, forming their identity through enacted memory, and ensuring that gratitude, joy, and inclusion of the marginalized are not left to personal inclination but embedded in communal obligation. The chapter’s theological unity — connecting the festival calendar, the justice mandate, and the prohibition of syncretism — shows that God conceives of covenant life holistically: right worship, right community ethics, and right institutional structures belong together and cannot be separated without distorting all three. The repeated emphasis on joy as</w:t>
      </w:r>
      <w:r>
        <w:t xml:space="preserve"> </w:t>
      </w:r>
      <w:r>
        <w:rPr>
          <w:i/>
          <w:iCs/>
        </w:rPr>
        <w:t xml:space="preserve">commanded</w:t>
      </w:r>
      <w:r>
        <w:t xml:space="preserve"> </w:t>
      </w:r>
      <w:r>
        <w:t xml:space="preserve">and</w:t>
      </w:r>
      <w:r>
        <w:t xml:space="preserve"> </w:t>
      </w:r>
      <w:r>
        <w:rPr>
          <w:i/>
          <w:iCs/>
        </w:rPr>
        <w:t xml:space="preserve">complete</w:t>
      </w:r>
      <w:r>
        <w:t xml:space="preserve"> </w:t>
      </w:r>
      <w:r>
        <w:t xml:space="preserve">(v. 15) reveals a God who is not indifferent to His people’s experience of delight in His redemption — He insists on it, names its conditions, and promises His blessing as its ground.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concentrated expression of covenant-forming grace: God does not merely redeem Israel and leave them to self-organize; He provides the means of grace — the festivals — by which the memory of redemption is kept alive and productive in the community. This is a pre-Christological form of what the Westminster Confession calls the</w:t>
      </w:r>
      <w:r>
        <w:t xml:space="preserve"> </w:t>
      </w:r>
      <w:r>
        <w:t xml:space="preserve">“means of grace”</w:t>
      </w:r>
      <w:r>
        <w:t xml:space="preserve"> </w:t>
      </w:r>
      <w:r>
        <w:t xml:space="preserve">— the appointed instruments through which God preserves and nourishes faith. The Passover’s fulfillment in Christ (1 Corinthians 5:7; Luke 22) does not abolish the principle; it deepens it: the Lord’s Supper is the new covenant festival of remembrance, and the church’s weekly gathering around Word and sacrament is the new covenant equivalent of the three annual pilgrimages. The Reformed tradition’s insistence on the</w:t>
      </w:r>
      <w:r>
        <w:t xml:space="preserve"> </w:t>
      </w:r>
      <w:r>
        <w:rPr>
          <w:i/>
          <w:iCs/>
        </w:rPr>
        <w:t xml:space="preserve">regulative principle of worship</w:t>
      </w:r>
      <w:r>
        <w:t xml:space="preserve"> </w:t>
      </w:r>
      <w:r>
        <w:t xml:space="preserve">— that God specifies how He is to be worshipped — finds direct support in the chapter’s centralizing formula and its concluding prohibition: worship is constituted by divine appointment, not human creativity or cultural accommodation, and the God who redeems is the God who commands the terms of approach.</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already told you who you are and what you need: you are a redeemed people, and you need to keep coming back to your redemption — in worship, in remembrance, in community, in generosity, in justice. The festivals are not burdens added to freedom; they are the means by which freedom is preserved against the relentless pressure of a culture that will form you into something else if you let it. Return to the place God has appointed. Bring what you owe. Rejoice together. Include the ones who have nothing to bring. Pursue justice. Protect the altar. This is how the redeemed stay redeemed in their daily living.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festivals as purely typological and therefore inapplicable.</w:t>
      </w:r>
      <w:r>
        <w:t xml:space="preserve"> </w:t>
      </w:r>
      <w:r>
        <w:t xml:space="preserve">The festivals are fulfilled in Christ — but</w:t>
      </w:r>
      <w:r>
        <w:t xml:space="preserve"> </w:t>
      </w:r>
      <w:r>
        <w:t xml:space="preserve">“fulfilled”</w:t>
      </w:r>
      <w:r>
        <w:t xml:space="preserve"> </w:t>
      </w:r>
      <w:r>
        <w:t xml:space="preserve">does not mean</w:t>
      </w:r>
      <w:r>
        <w:t xml:space="preserve"> </w:t>
      </w:r>
      <w:r>
        <w:t xml:space="preserve">“dissolved.”</w:t>
      </w:r>
      <w:r>
        <w:t xml:space="preserve"> </w:t>
      </w:r>
      <w:r>
        <w:t xml:space="preserve">A sermon on Deuteronomy 16 that spends most of its time on the Passover typology and then announces</w:t>
      </w:r>
      <w:r>
        <w:t xml:space="preserve"> </w:t>
      </w:r>
      <w:r>
        <w:t xml:space="preserve">“and of course Jesus is our true Passover lamb”</w:t>
      </w:r>
      <w:r>
        <w:t xml:space="preserve"> </w:t>
      </w:r>
      <w:r>
        <w:t xml:space="preserve">without pressing the chapter’s first-order formative intention has not preached the passage; it has preached a footnote about the passage. The typological connection is real and must be made — but so must the passage’s own claim that God’s redeemed people need appointed, structured, communal rhythms of remembrance if they are to retain their identity. Press both dimensions.</w:t>
      </w:r>
    </w:p>
    <w:p>
      <w:pPr>
        <w:numPr>
          <w:ilvl w:val="0"/>
          <w:numId w:val="1002"/>
        </w:numPr>
      </w:pPr>
      <w:r>
        <w:rPr>
          <w:b/>
          <w:bCs/>
        </w:rPr>
        <w:t xml:space="preserve">Preaching the joy commands without naming their content.</w:t>
      </w:r>
      <w:r>
        <w:t xml:space="preserve"> </w:t>
      </w:r>
      <w:r>
        <w:t xml:space="preserve">Verses 11 and 14–15 command Israel to rejoice, and some expositors leap immediately to application about emotional vitality in worship or the importance of joy as a spiritual discipline. The text is more precise: the joy is grounded in</w:t>
      </w:r>
      <w:r>
        <w:t xml:space="preserve"> </w:t>
      </w:r>
      <w:r>
        <w:rPr>
          <w:i/>
          <w:iCs/>
        </w:rPr>
        <w:t xml:space="preserve">what God has done</w:t>
      </w:r>
      <w:r>
        <w:t xml:space="preserve"> </w:t>
      </w:r>
      <w:r>
        <w:t xml:space="preserve">(redemption from Egypt, provision of harvest) and expressed through</w:t>
      </w:r>
      <w:r>
        <w:t xml:space="preserve"> </w:t>
      </w:r>
      <w:r>
        <w:rPr>
          <w:i/>
          <w:iCs/>
        </w:rPr>
        <w:t xml:space="preserve">specific communal acts</w:t>
      </w:r>
      <w:r>
        <w:t xml:space="preserve"> </w:t>
      </w:r>
      <w:r>
        <w:t xml:space="preserve">(gathering, giving, including the marginalized). Do not preach joy as a psychological state to be cultivated; preach joy as the appropriate and God-commanded response to a specific content — His redemptive acts. The prescription for joyless worship is not more exuberance; it is deeper memory.</w:t>
      </w:r>
    </w:p>
    <w:p>
      <w:pPr>
        <w:numPr>
          <w:ilvl w:val="0"/>
          <w:numId w:val="1002"/>
        </w:numPr>
      </w:pPr>
      <w:r>
        <w:rPr>
          <w:b/>
          <w:bCs/>
        </w:rPr>
        <w:t xml:space="preserve">Separating vv. 18–22 from the festival calendar.</w:t>
      </w:r>
      <w:r>
        <w:t xml:space="preserve"> </w:t>
      </w:r>
      <w:r>
        <w:t xml:space="preserve">The justice pericope and the anti-syncretism prohibition are integral to the passage’s claim, not administrative add-ons. Skipping them or treating them as a separate sermon unit loses the chapter’s argument: you cannot sustain genuine covenant celebration in a community that perverts justice or tolerates syncretism. Preach the chapter whole. The altar and the courthouse belong together in Deuteronomy 16, and they belong together in your exposition.</w:t>
      </w:r>
    </w:p>
    <w:p>
      <w:pPr>
        <w:numPr>
          <w:ilvl w:val="0"/>
          <w:numId w:val="1002"/>
        </w:numPr>
      </w:pPr>
      <w:r>
        <w:rPr>
          <w:b/>
          <w:bCs/>
        </w:rPr>
        <w:t xml:space="preserve">Reducing</w:t>
      </w:r>
      <w:r>
        <w:rPr>
          <w:b/>
          <w:bCs/>
        </w:rPr>
        <w:t xml:space="preserve"> </w:t>
      </w:r>
      <w:r>
        <w:rPr>
          <w:b/>
          <w:bCs/>
        </w:rPr>
        <w:t xml:space="preserve">“remember you were a slave in Egypt”</w:t>
      </w:r>
      <w:r>
        <w:rPr>
          <w:b/>
          <w:bCs/>
        </w:rPr>
        <w:t xml:space="preserve"> </w:t>
      </w:r>
      <w:r>
        <w:rPr>
          <w:b/>
          <w:bCs/>
        </w:rPr>
        <w:t xml:space="preserve">to a motivational slogan.</w:t>
      </w:r>
      <w:r>
        <w:t xml:space="preserve"> </w:t>
      </w:r>
      <w:r>
        <w:t xml:space="preserve">This phrase does profound theological work in the chapter — it grounds inclusion of the marginalized in Israel’s own covenant memory, not in general humanitarian instinct. The memorial is not</w:t>
      </w:r>
      <w:r>
        <w:t xml:space="preserve"> </w:t>
      </w:r>
      <w:r>
        <w:t xml:space="preserve">“remember hard times so you can be grateful now”</w:t>
      </w:r>
      <w:r>
        <w:t xml:space="preserve">; it is</w:t>
      </w:r>
      <w:r>
        <w:t xml:space="preserve"> </w:t>
      </w:r>
      <w:r>
        <w:t xml:space="preserve">“remember that you were a helpless slave whom God rescued by grace, so that your treatment of other helpless people flows from that same grace rather than from merit, status, or preference.”</w:t>
      </w:r>
      <w:r>
        <w:t xml:space="preserve"> </w:t>
      </w:r>
      <w:r>
        <w:t xml:space="preserve">The difference matters enormously for the application: this is anti-moralism grounded in gospel.</w:t>
      </w:r>
    </w:p>
    <w:p>
      <w:pPr>
        <w:numPr>
          <w:ilvl w:val="0"/>
          <w:numId w:val="1002"/>
        </w:numPr>
      </w:pPr>
      <w:r>
        <w:rPr>
          <w:b/>
          <w:bCs/>
        </w:rPr>
        <w:t xml:space="preserve">Failing to press the proportionate giving principle.</w:t>
      </w:r>
      <w:r>
        <w:t xml:space="preserve"> </w:t>
      </w:r>
      <w:r>
        <w:t xml:space="preserve">Verse 17 is exegetically clear and pastorally pointed, but it is easy to pass over in a chapter dominated by the three festivals.</w:t>
      </w:r>
      <w:r>
        <w:t xml:space="preserve"> </w:t>
      </w:r>
      <w:r>
        <w:t xml:space="preserve">“As he is able, according to the blessing of the LORD”</w:t>
      </w:r>
      <w:r>
        <w:t xml:space="preserve"> </w:t>
      </w:r>
      <w:r>
        <w:t xml:space="preserve">is a direct challenge to mechanical, flat-rate, or convenience-calibrated giving. Do not let this verse disappear into the exposition. It embeds a generous, grace-responsive theology of giving into the very structure of the covenant calendar and deserves direct, concrete application.</w:t>
      </w:r>
    </w:p>
    <w:p>
      <w:pPr>
        <w:numPr>
          <w:ilvl w:val="0"/>
          <w:numId w:val="1002"/>
        </w:numPr>
      </w:pPr>
      <w:r>
        <w:rPr>
          <w:b/>
          <w:bCs/>
        </w:rPr>
        <w:t xml:space="preserve">Missing the chapter’s anti-drift logic.</w:t>
      </w:r>
      <w:r>
        <w:t xml:space="preserve"> </w:t>
      </w:r>
      <w:r>
        <w:t xml:space="preserve">The most important question to press from Deuteronomy 16 is not</w:t>
      </w:r>
      <w:r>
        <w:t xml:space="preserve"> </w:t>
      </w:r>
      <w:r>
        <w:t xml:space="preserve">“did Israel keep the festivals?”</w:t>
      </w:r>
      <w:r>
        <w:t xml:space="preserve"> </w:t>
      </w:r>
      <w:r>
        <w:t xml:space="preserve">but</w:t>
      </w:r>
      <w:r>
        <w:t xml:space="preserve"> </w:t>
      </w:r>
      <w:r>
        <w:t xml:space="preserve">“what happens to a redeemed people who stop returning to the appointed places and practices of remembrance?”</w:t>
      </w:r>
      <w:r>
        <w:t xml:space="preserve"> </w:t>
      </w:r>
      <w:r>
        <w:t xml:space="preserve">The canonical answer — visible in Judges, Kings, Nehemiah 8, and Israel’s prophetic literature — is catastrophic drift into the very Canaanite patterns the festivals were designed to prevent. The chapter’s positive commands are all anti-drift mechanisms. Preachers who miss this miss the chapter’s urgency: these are not enrichment practices for people who are already stable in their covenant identity; they are the conditions of covenant survival.</w:t>
      </w:r>
    </w:p>
    <w:p>
      <w:r>
        <w:pict>
          <v:rect style="width:0;height:1.5pt" o:hralign="center" o:hrstd="t" o:hr="t"/>
        </w:pict>
      </w:r>
    </w:p>
    <w:p>
      <w:pPr>
        <w:pStyle w:val="FirstParagraph"/>
      </w:pPr>
      <w:r>
        <w:rPr>
          <w:i/>
          <w:iCs/>
        </w:rPr>
        <w:t xml:space="preserve">Document: 05 Deuteronomy 16.docx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2026-07-14T21:02:05Z</dcterms:created>
  <dcterms:modified xsi:type="dcterms:W3CDTF">2026-07-14T21:02:05Z</dcterms:modified>
</cp:coreProperties>
</file>

<file path=docProps/custom.xml><?xml version="1.0" encoding="utf-8"?>
<Properties xmlns="http://schemas.openxmlformats.org/officeDocument/2006/custom-properties" xmlns:vt="http://schemas.openxmlformats.org/officeDocument/2006/docPropsVTypes"/>
</file>